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D9" w:rsidRPr="004460D9" w:rsidRDefault="004460D9" w:rsidP="004460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Ответственность несовершеннолетних за правонарушения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47850" cy="1304925"/>
            <wp:effectExtent l="19050" t="0" r="0" b="0"/>
            <wp:docPr id="1" name="Рисунок 1" descr="http://gymn61.minsk.edu.by/ru/sm_full.aspx?guid=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61.minsk.edu.by/ru/sm_full.aspx?guid=87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соответствии с Кодексом об административных правонарушениях Республики Беларусь за нарушение пешеходами Правил дорожного движения, в частности при движении по краю проезжей части в темное время суток без </w:t>
      </w: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светоотражателя, 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предусмотрено предупреждение либо штраф от 0,1 до 0,5 базовой величины (базовая величина в Беларуси равна 100 тыс. руб.), а за те же нарушения в состоянии алкогольного опьянения - от 1 до 3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базовых величин. За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привлечении пешехода к административной ответственности за нарушение установленных Правил (в том числе и за отсутствие светоотражающего элемента) и возможности оплатить штраф на месте инспектор ГАИ обязан выдать нарушителю на руки квитанцию об оплате и копию постановления, где будет указаны дата, время, место нарушения, нарушенный пункт ПДД, статья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КоАП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РБ, предусматривающая административную ответственность, а также сведения об инспекторе.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Если же гражданин не согласен с нарушением, не хочет или не имеет возможности 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оплатить штраф на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месте, на него будет составлен административный протокол, где будет описана суть нарушения. В данной ситуации возможно 2 варианта решения проблемы: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1-й вариант: Инспектор в любом случае, даже при  несогласии нарушителя, имеет право вынести постановление на месте. Тогда он обязан в 30-тидневный срок 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оплатить сумму штрафа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указанную в копии постановления, выданного  на руки (также на руках будет копия протокола).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2-й вариант: Инспектор составит протокол и назначит день, время и место, куда нарушителю следует явиться на комиссию по рассмотрению административных протоколов, где и будет принято решение. В таком случае на руках у него будет копия протокола.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Кроме сотрудника ГАИ привлечь пешехода к административной ответственности может участковый инспектор милиции. 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таком случае, согласен нарушитель  или нет, действия милиционера следующие: участковый инспектор составляет административный протокол, где указывает дату, время, место нарушения, 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нарушенный пункт ПДД, статью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КоАП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РБ, предусматривающую административную ответственность, сведения о себе (звание, Ф.И.О.), также в протоколе указывается дата, время и место, куда нарушителю необходимо явиться для вынесения решения.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На месте выносить решение, а тем более взимать штраф, участковый инспектор не имеет права.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Если  берут штраф, то при этом обязательно выдаётся квитанция.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любом из вышеуказанных случаев нарушитель имеет право на обжалование решения в течение 10 дней вышестоящему должностному лицу либо в суд.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результатам исследования, расстояние, с которого «обозначенный пешеход» 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становится более заметен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Поскольку человек постоянно двигается, лучи света падают на него не прямо (как  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фликеры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Подвески (их должно быть несколько) лучше крепить за ремень, пояс, пуговицу, чтобы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световозвращатели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свисали на уровне бедра.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Нарукавные повязки и браслеты так, чтобы они не были закрыты при движении и способствовали зрительному восприятию.  Рекомендуется наносить их в виде горизонтальных и вертикальных полос на полочку, спинку, внешнюю часть рукавов, нижнюю наружную часть брюк, а также  на головные уборы, рукавицы, обувь и другие предметы одежды.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Значки могут располагаться на одежде в любом месте.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Сумочку, портфель или рюкзак лучше нужно в правой руке, а не за спиной.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Эффективнее всего носить одежду с уже вшитыми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световозвращающими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элементами.3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Наиболее надежный вариант  – нанести на одежду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световозвращающие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термоапликации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наклейки.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пересечении проезжей части в темноте рекомендуется иметь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световозвращатели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справа и слева.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Информируем вас, что 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мая 2003 года «Об основах системы профилактики безнадзорности и правонарушений несовершеннолетних».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Закон дополнен статьёй, устанавливающей, </w:t>
      </w: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что с 05.09.2012 г. несовершеннолетние в возрасте до 16 лет не могут находиться в период с двадцати трёх до шести часов вне жилища  без сопровождения родителей, опекунов или попечителей, либо без сопровождения по их поручению совершеннолетних лиц. 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Для тех родителей, кто не выполняет свои обязанности, безразличен к безопасности своих детей,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КоАП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дополнен статьей 17.13 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предупреждение 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или </w:t>
      </w: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наложение штрафа в размере до двух базовых величин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 </w:t>
      </w: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двух до пяти базовых величин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Ответственность несовершеннолетних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настоящее время в Республике Беларусь за совершение противоправных поступков предусмотрены два вида ответственности: административная и уголовная. 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Согласно законодательства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Республики Беларусь административная и уголовная ответственность наступает с </w:t>
      </w: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16 лет, 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совершение определенных правонарушений ответственность наступает с </w:t>
      </w: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14-летнего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возраста.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вопросы отвечает участковый инспектор инспекции по делам несовершеннолетних Рогачевского РОВД лейтенант милиции  Потапова Татьяна Владимировна.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За какие деяния наступает административная ответственность?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Согласно 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.2 ст.4.3. Кодекса РБ об административных правонарушениях физическое лицо, совершившее запрещенное деяние в возрасте от 14 до 16 лет, подлежит административной ответственности лишь 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 умышленное причинение телесного повреждения (ст.9.1),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 мелкое хищение (ст.10.5),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--умышленное уничтожение либо повреждение имуществ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а(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ст.10.9),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 жестокое обращение с животными (ст.15.45),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 разжигание костров в запрещенных местах (ст.15.58),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-- мелкое хулиганство (ст.17.1) и др.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Кто несет ответственность за совершение противоправных действий лица, не достигшего 14 лет?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Ответственность за совершение противоправных действий лица, не достигшего 14 лет, несут его законные представители (родители, опекуны, усыновители). По ст. 9.4. «Невыполнение обязанностей по воспитанию детей».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Какие наиболее часто встречаются правонарушения среди несовершеннолетних?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Распитие алкогольных, слабоалкогольных напитков или пива в общественном месте либо появление в общественном месте или на работе в пьяном виде (ст.17.3):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Возраст - с 16 лет: 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Ответственность - наложение штрафа в размере до 8 базовых величин. 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Повторность - наложение штрафа в размере от 2 до 15 б.в.. Общественное место – улица, стадион, сквер, парк, общественный транспорт, учреждение здравоохранения, образования, культуры.</w:t>
      </w:r>
      <w:proofErr w:type="gramEnd"/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Мелкое хулиганство: 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обществу(17.1):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Возраст - с 14 лет: 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Ответственность - наложение штрафа в размере от 2 до 30 базовых величин;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Курение (потребление) табачных изделий в запрещенных местах (ст. 17.9):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lastRenderedPageBreak/>
        <w:t>Возраст - с 16 лет: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Ответственность - наложение штрафа в размере до 4 базовых величин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ышленное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причинение телесных повреждений (ст.9.1):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Возраст - с 14 лет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Ответственность - наложение штрафа в размере от 10 до 30 базовых величин;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Оскорбление (с.9.3):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Возраст - с 16 лет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Ответственность - наложение штрафа в размере от 4 до 20 базовых величин;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Мелкое хищение (ст.10.5):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Возраст - с 14 лет.</w:t>
      </w: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Ответственность - наложение штрафа в размере от 10 до 30 базовых величин. Повторность - наложение штрафа в размере от 30 до 50 б.</w:t>
      </w:r>
      <w:proofErr w:type="gram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.;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Где рассматриваются подростки за совершение административных правонарушений?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Все административные протоколы в отношении несовершеннолетних, а также в отношении взрослых  по ст. 9.4. </w:t>
      </w:r>
      <w:proofErr w:type="spellStart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КоАП</w:t>
      </w:r>
      <w:proofErr w:type="spellEnd"/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РБ рассматриваются на комиссии по делам несовершеннолетних по месту жительства подростка.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 совершение правонарушений ставится ли подросток на учет в инспекцию по делам несовершеннолетних?</w:t>
      </w:r>
    </w:p>
    <w:p w:rsidR="004460D9" w:rsidRPr="004460D9" w:rsidRDefault="004460D9" w:rsidP="004460D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60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Подросток ставится на профилактический учет в ИДН РОВД минимум на 6 месяцев.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0D9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20A2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1E1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60D9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D98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285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2">
    <w:name w:val="heading 2"/>
    <w:basedOn w:val="a"/>
    <w:link w:val="20"/>
    <w:uiPriority w:val="9"/>
    <w:qFormat/>
    <w:rsid w:val="0044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60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0D9"/>
    <w:rPr>
      <w:b/>
      <w:bCs/>
    </w:rPr>
  </w:style>
  <w:style w:type="character" w:customStyle="1" w:styleId="apple-converted-space">
    <w:name w:val="apple-converted-space"/>
    <w:basedOn w:val="a0"/>
    <w:rsid w:val="004460D9"/>
  </w:style>
  <w:style w:type="character" w:styleId="a6">
    <w:name w:val="Emphasis"/>
    <w:basedOn w:val="a0"/>
    <w:uiPriority w:val="20"/>
    <w:qFormat/>
    <w:rsid w:val="004460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8145</Characters>
  <Application>Microsoft Office Word</Application>
  <DocSecurity>0</DocSecurity>
  <Lines>67</Lines>
  <Paragraphs>19</Paragraphs>
  <ScaleCrop>false</ScaleCrop>
  <Company>Free World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2020-09-20T10:22:00Z</dcterms:created>
  <dcterms:modified xsi:type="dcterms:W3CDTF">2020-09-20T10:22:00Z</dcterms:modified>
</cp:coreProperties>
</file>